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E40E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Les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humanitaires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accueillent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avec prudence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l’annonce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du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cessez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-le-feu et exigent la fin de deux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années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déplacement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forcé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Palestiniens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à Gaza</w:t>
      </w:r>
    </w:p>
    <w:p w14:paraId="6636BBD5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13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octobre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2025</w:t>
      </w:r>
    </w:p>
    <w:p w14:paraId="5CD0D6E9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L’annonce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d’un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cessez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-le-feu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apporte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un moment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soulagement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d’espoir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attendu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depuis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longtemps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Cependant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elle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doit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marquer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 début, et non la fin,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l’engagement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communauté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internationale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assumer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responsabilités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52D17E23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Cette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annonce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intervient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dans 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contexte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crise profonde,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alors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que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la vie à Gaza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est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au bord du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gouffre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Une famine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d'origine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humaine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s’est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installée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cause du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blocus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israélien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continu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illégal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bande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Gaza.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dizaines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milliers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d’enfants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risquent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mourir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malnutrition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aiguë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dans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venir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Des femmes, des enfants et des hommes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été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gravement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privés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biens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essentiels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leur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survie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leur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dignité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 :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nourriture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eau, carburant, abris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soins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médicaux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49E0E838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bombardements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incessants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aveugles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tué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plus de 66 000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personnes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mutilé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plus de 150 000,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rendant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invalides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moins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21 000 enfants, tout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détruisant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quartiers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entiers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anéantissant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générations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familles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milliers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d’autres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toujours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portées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disparues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sous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décombres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Plus de 92 % des habitations, 518 écoles,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ainsi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que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hôpitaux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des infrastructures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d’eau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d’éducation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subsistance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été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détruits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endommagés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contaminés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par des munitions non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explosées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4398E93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Aujourd’hui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le 13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octobre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2025,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cela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fait deux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qu’Israël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ordonné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 premier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déplacement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massif de 1,1 million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Gaza, 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ordre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qui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constitue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transfert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forcé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un crime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contre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l’humanité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forme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punition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collective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interdite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par le droit international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En violation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obligations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juridiques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internationales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Israël 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déplacé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force,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plusieurs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reprises, au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moins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1,9 million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personnes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Gaza,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provoquant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catastrophe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où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enfants, femmes enceintes,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personnes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âgées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personnes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handicapées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malades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blessés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luttent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pour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fuir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accéder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simplement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survivre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dans des conditions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périlleuses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3F1F7C43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transferts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forcés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lieu dans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l’ensemble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territoire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occupé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En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Cisjordanie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notamment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Jérusalem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-Est,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milliers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personnes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été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déplacées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force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depuis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octobre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2023, le plus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alarmant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étant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déplacement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massif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d’environ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32 000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camps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réfugiés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Jénine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Tulkarem et Nur Shams, dans le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nord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Cisjordanie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toujours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empêchés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rentrer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chez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eux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5EEEE88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dernier, la </w:t>
      </w:r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Commission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d’enquête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internationale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indépendante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des Nations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Unies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sur le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territoire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palestinien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occupé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conclu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que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autorités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israéliennes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commettaient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génocide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contre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bande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Gaza. À la suite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conclusions,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dirigeants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principales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organisations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appelé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dirigeants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mondiaux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intervenir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E127CD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en-GB"/>
          <w14:ligatures w14:val="none"/>
        </w:rPr>
        <w:t> </w:t>
      </w:r>
    </w:p>
    <w:p w14:paraId="2A41A93B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conclusions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imposent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tous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États des obligations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juridiques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claires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 :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prévenir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nouvelles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destructions,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garantir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responsabilité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et faire respecter les protections</w:t>
      </w: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prévues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par le droit international. </w:t>
      </w:r>
    </w:p>
    <w:p w14:paraId="3405FD66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Le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cessez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-le-feu doit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permettre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créer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les conditions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d’une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action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sûre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fondée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sur les principes, et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d’assurer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la protection des civils.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Jusqu’à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présent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l’accès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l’aide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été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systématiquement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refusé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gravement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entravé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centaines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travailleurs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professionnels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santé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été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pris pour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cible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tués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Malgré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l’existence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d’un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mécanisme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coordination des Nations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Unies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qui 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permis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d’atteindre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communautés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malgré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d’innombrables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obstacles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imposés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par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autorités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israéliennes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été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restreinte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par 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modèle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distribution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militarisé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dangereux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responsable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la mort de plus de 3 000 civils.</w:t>
      </w:r>
      <w:r w:rsidRPr="00E127CD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en-GB"/>
          <w14:ligatures w14:val="none"/>
        </w:rPr>
        <w:t xml:space="preserve"> </w:t>
      </w: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convois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d’aide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bloqués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ponts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des routes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détruits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  </w:t>
      </w:r>
    </w:p>
    <w:p w14:paraId="64D6F809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Les efforts diplomatiques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trop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souvent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échoué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faire respecter le droit international et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protéger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civils. Le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cessez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-le-feu doit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donc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constituer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la base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d’une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action durable et continue,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action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visant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rétablir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la protection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l’accès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permettre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 retour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volontaire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sûr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personnes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déplacées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et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garantir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responsabilisation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  </w:t>
      </w:r>
    </w:p>
    <w:p w14:paraId="25F66423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lastRenderedPageBreak/>
        <w:t xml:space="preserve">En tant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que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communauté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ONG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nous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demandons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:</w:t>
      </w:r>
    </w:p>
    <w:p w14:paraId="786C57A5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cessez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-le-feu permanent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effectif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assorti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garanties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6F6B5956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La protection des civils,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travailleurs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professionnels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santé.</w:t>
      </w:r>
    </w:p>
    <w:p w14:paraId="044F36F3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Le retour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sûr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volontaire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digne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dans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leurs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foyers à travers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l’ensemble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territoire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occupé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accompagné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d’une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réponse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suffisante pour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couvrir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tous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besoins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DFBC1BF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La protection et la restauration des infrastructures et services civils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essentiels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notamment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systèmes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santé,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d’eau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d’assainissement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E44A270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Un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accès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complet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sûr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sans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entrave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pour les organisations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indépendantes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afin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qu’elles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puissent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fournir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aide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vitale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rapide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complète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nourriture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médicaments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carburant, protection et services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essentiels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l’échelle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nécessaire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A188BA9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libération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immédiate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détenus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arbitrairement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notamment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ceux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incarcérés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sans inculpation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ni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jugement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tant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que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détenus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administratifs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7AB2BEAA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La fin de la militarisation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la suppression des obstacles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administratifs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notamment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liés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l’enregistrement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des OING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internationales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6496BA8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Le respect par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tous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les États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leurs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obligations,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particulier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celle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prévenir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nouvelles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atrocités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conformément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au droit international,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l’avis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consultatif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de la CIJ sur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présence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d’Israël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dans le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territoire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occupé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à la Convention sur le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génocide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au droit international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humanitaire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9B3D516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L’arrêt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immédiat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des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transferts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d’armes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,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pièces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détachées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et de munitions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vers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Israël,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afin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d’empêcher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leur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utilisation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violation du droit international,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conformément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Traité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sur le commerce des armes et à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résolution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l’Assemblée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générale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des Nations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Unies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relative à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l’avis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consultatif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de la CIJ.</w:t>
      </w:r>
    </w:p>
    <w:p w14:paraId="43028AA7" w14:textId="77777777" w:rsidR="00E127CD" w:rsidRPr="00E127CD" w:rsidRDefault="00E127CD" w:rsidP="00E127C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Une vision collective,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transparente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coordonnée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pour la reconstruction de Gaza,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portée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par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volonté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et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l’autodétermination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du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peuple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38E0474" w14:textId="77777777" w:rsidR="00E127CD" w:rsidRPr="00E127CD" w:rsidRDefault="00E127CD" w:rsidP="00E127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A4DC38A" w14:textId="77777777" w:rsidR="00E127CD" w:rsidRPr="00E127CD" w:rsidRDefault="00E127CD" w:rsidP="00E127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territoire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palestinien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occupé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peut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être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exception au droit qui nous lie </w:t>
      </w:r>
      <w:proofErr w:type="spellStart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tous</w:t>
      </w:r>
      <w:proofErr w:type="spellEnd"/>
      <w:r w:rsidRPr="00E127C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4534019" w14:textId="77777777" w:rsidR="00E127CD" w:rsidRPr="00E127CD" w:rsidRDefault="00E127CD" w:rsidP="00E127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8CEFD69" w14:textId="77777777" w:rsidR="00E127CD" w:rsidRPr="00E127CD" w:rsidRDefault="00E127CD" w:rsidP="00E127C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Signé</w:t>
      </w:r>
      <w:proofErr w:type="spellEnd"/>
      <w:r w:rsidRPr="00E127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par :</w:t>
      </w:r>
    </w:p>
    <w:p w14:paraId="0C6D9EC1" w14:textId="77777777" w:rsidR="00E127CD" w:rsidRPr="00755153" w:rsidRDefault="00E127CD" w:rsidP="00E127CD">
      <w:pPr>
        <w:spacing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755153">
        <w:rPr>
          <w:rFonts w:eastAsia="Times New Roman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Signed by:</w:t>
      </w:r>
    </w:p>
    <w:p w14:paraId="6470121A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242424"/>
          <w:kern w:val="0"/>
          <w:sz w:val="22"/>
          <w:szCs w:val="22"/>
          <w:lang w:eastAsia="en-GB"/>
          <w14:ligatures w14:val="none"/>
        </w:rPr>
        <w:sectPr w:rsidR="00E127CD" w:rsidRPr="00755153" w:rsidSect="00E127CD">
          <w:pgSz w:w="11906" w:h="16838"/>
          <w:pgMar w:top="1202" w:right="1440" w:bottom="696" w:left="1440" w:header="708" w:footer="708" w:gutter="0"/>
          <w:cols w:space="708"/>
          <w:docGrid w:linePitch="360"/>
        </w:sectPr>
      </w:pPr>
    </w:p>
    <w:p w14:paraId="3A734DEE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Abs Development organisation for woman and child</w:t>
      </w:r>
    </w:p>
    <w:p w14:paraId="74817F2C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ACT Alliance</w:t>
      </w:r>
    </w:p>
    <w:p w14:paraId="26F8A16A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Act for Peace</w:t>
      </w:r>
    </w:p>
    <w:p w14:paraId="2B551EAD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ActionAid International</w:t>
      </w:r>
    </w:p>
    <w:p w14:paraId="7B868B0A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Action For Humanity</w:t>
      </w:r>
    </w:p>
    <w:p w14:paraId="739107AD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Africa Humanitarian Action</w:t>
      </w:r>
    </w:p>
    <w:p w14:paraId="1DE05A3B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All We Can</w:t>
      </w:r>
    </w:p>
    <w:p w14:paraId="42F24FF1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American Friends Service Committee, AFSC</w:t>
      </w:r>
    </w:p>
    <w:p w14:paraId="64F1A777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Asylum Access</w:t>
      </w:r>
    </w:p>
    <w:p w14:paraId="25B2750C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CAFOD</w:t>
      </w:r>
    </w:p>
    <w:p w14:paraId="4A4107A7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Caritas International Belgium</w:t>
      </w:r>
    </w:p>
    <w:p w14:paraId="3BCF77A5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Caritas Middle East and North Africa - Caritas MONA</w:t>
      </w:r>
    </w:p>
    <w:p w14:paraId="212DD6F3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Children of Earth Association- YEÇED</w:t>
      </w:r>
    </w:p>
    <w:p w14:paraId="769BF23B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Christian Aid</w:t>
      </w:r>
    </w:p>
    <w:p w14:paraId="57A8A5FC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Church World Service</w:t>
      </w:r>
    </w:p>
    <w:p w14:paraId="7BF4AB9B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Disable Development &amp; Educational Foundation (DDEF)</w:t>
      </w:r>
    </w:p>
    <w:p w14:paraId="74684B32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DT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Peduli</w:t>
      </w:r>
      <w:proofErr w:type="spellEnd"/>
    </w:p>
    <w:p w14:paraId="6019C0F6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Golden Future Indonesia</w:t>
      </w:r>
    </w:p>
    <w:p w14:paraId="570C8AB0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Hayata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Destek</w:t>
      </w:r>
      <w:proofErr w:type="spellEnd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 / Support to Life</w:t>
      </w:r>
    </w:p>
    <w:p w14:paraId="17315C4E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HelpAge International</w:t>
      </w:r>
    </w:p>
    <w:p w14:paraId="5BAED20F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Horan Foundation</w:t>
      </w:r>
    </w:p>
    <w:p w14:paraId="5CBD6C5A" w14:textId="77777777" w:rsidR="00E127CD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Human Initiative</w:t>
      </w:r>
    </w:p>
    <w:p w14:paraId="6429F544" w14:textId="730B544C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ICVA Network</w:t>
      </w:r>
      <w:r w:rsidR="00DB626D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 Secretariat</w:t>
      </w:r>
    </w:p>
    <w:p w14:paraId="69F2AFE7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IHH Humanitarian Relief Foundation</w:t>
      </w:r>
    </w:p>
    <w:p w14:paraId="1E5330BF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Insecurity Insight</w:t>
      </w:r>
    </w:p>
    <w:p w14:paraId="7881E494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International Blue Crescent Relief and Development Foundation</w:t>
      </w:r>
    </w:p>
    <w:p w14:paraId="2A2AEFC3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INTERSOS</w:t>
      </w:r>
    </w:p>
    <w:p w14:paraId="4C3CD831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Islamic Relief</w:t>
      </w:r>
    </w:p>
    <w:p w14:paraId="553EAD29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Islamic Relief Agency (ISRA)</w:t>
      </w:r>
    </w:p>
    <w:p w14:paraId="6085E42C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KinderUSA</w:t>
      </w:r>
      <w:proofErr w:type="spellEnd"/>
    </w:p>
    <w:p w14:paraId="0B8F4381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Laznas</w:t>
      </w:r>
      <w:proofErr w:type="spellEnd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 Dewan Da'wah</w:t>
      </w:r>
    </w:p>
    <w:p w14:paraId="121D6556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MedGlobal</w:t>
      </w:r>
      <w:proofErr w:type="spellEnd"/>
    </w:p>
    <w:p w14:paraId="0CC553EF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Medicines du Monde Spain</w:t>
      </w:r>
    </w:p>
    <w:p w14:paraId="0931BA70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Mennonite Central Committee</w:t>
      </w:r>
    </w:p>
    <w:p w14:paraId="53CA2085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National Foundation for Development and Humanitarian Response</w:t>
      </w:r>
    </w:p>
    <w:p w14:paraId="0C4E7340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Nonviolent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Peaceforce</w:t>
      </w:r>
      <w:proofErr w:type="spellEnd"/>
    </w:p>
    <w:p w14:paraId="38A80510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Philippine Humanitarian Care (PHILCARE) Inc.</w:t>
      </w:r>
    </w:p>
    <w:p w14:paraId="20D7141A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Qudwah Indonesia</w:t>
      </w:r>
    </w:p>
    <w:p w14:paraId="762AE263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Refugee Council of Australia</w:t>
      </w:r>
    </w:p>
    <w:p w14:paraId="663BF1F7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Refugee Solidarity Network</w:t>
      </w:r>
    </w:p>
    <w:p w14:paraId="24BE7044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Refugee-Led Organization Network (RELON) Uganda</w:t>
      </w:r>
    </w:p>
    <w:p w14:paraId="38E5AAE2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Rumah Zakat</w:t>
      </w:r>
    </w:p>
    <w:p w14:paraId="5DD97332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Samaj Kalyan O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shd w:val="clear" w:color="auto" w:fill="FFFFFF"/>
          <w:lang w:eastAsia="en-GB"/>
          <w14:ligatures w14:val="none"/>
        </w:rPr>
        <w:t>Unnayan</w:t>
      </w:r>
      <w:proofErr w:type="spellEnd"/>
      <w:r w:rsidRPr="00755153">
        <w:rPr>
          <w:rFonts w:eastAsia="Times New Roman" w:cs="Calibri"/>
          <w:color w:val="242424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shd w:val="clear" w:color="auto" w:fill="FFFFFF"/>
          <w:lang w:eastAsia="en-GB"/>
          <w14:ligatures w14:val="none"/>
        </w:rPr>
        <w:t>Shangstha</w:t>
      </w:r>
      <w:proofErr w:type="spellEnd"/>
      <w:r w:rsidRPr="00755153">
        <w:rPr>
          <w:rFonts w:eastAsia="Times New Roman" w:cs="Calibri"/>
          <w:color w:val="242424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(SKUS)</w:t>
      </w:r>
    </w:p>
    <w:p w14:paraId="7A252FDC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SEAHUM Southeast Asia Humanitarian Committee</w:t>
      </w:r>
    </w:p>
    <w:p w14:paraId="7FA9FDEF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Syrian Networks League (SNL)</w:t>
      </w:r>
    </w:p>
    <w:p w14:paraId="377FB322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Terre des hommes Foundation</w:t>
      </w:r>
    </w:p>
    <w:p w14:paraId="3907FC30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United Against Inhumanity (UAI)</w:t>
      </w:r>
    </w:p>
    <w:p w14:paraId="0262994E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Women’s Refugee Commission</w:t>
      </w:r>
    </w:p>
    <w:p w14:paraId="1B9FECFA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Yayasan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Dompet</w:t>
      </w:r>
      <w:proofErr w:type="spellEnd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Dhuafa</w:t>
      </w:r>
      <w:proofErr w:type="spellEnd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Republika</w:t>
      </w:r>
      <w:proofErr w:type="spellEnd"/>
    </w:p>
    <w:p w14:paraId="6152E9AB" w14:textId="77777777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</w:pPr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Yemen </w:t>
      </w:r>
      <w:proofErr w:type="spellStart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>HDPNexus</w:t>
      </w:r>
      <w:proofErr w:type="spellEnd"/>
      <w:r w:rsidRPr="00755153"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t xml:space="preserve"> Initiative</w:t>
      </w:r>
    </w:p>
    <w:p w14:paraId="44DB3477" w14:textId="1F3C2C4D" w:rsidR="00E127CD" w:rsidRPr="00755153" w:rsidRDefault="00E127CD" w:rsidP="00E127C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line="240" w:lineRule="auto"/>
        <w:ind w:left="284" w:hanging="284"/>
        <w:textAlignment w:val="baseline"/>
        <w:rPr>
          <w:rFonts w:eastAsia="Times New Roman" w:cs="Calibri"/>
          <w:color w:val="242424"/>
          <w:kern w:val="0"/>
          <w:sz w:val="20"/>
          <w:szCs w:val="20"/>
          <w:lang w:eastAsia="en-GB"/>
          <w14:ligatures w14:val="none"/>
        </w:rPr>
        <w:sectPr w:rsidR="00E127CD" w:rsidRPr="00755153" w:rsidSect="00E127CD">
          <w:type w:val="continuous"/>
          <w:pgSz w:w="11906" w:h="16838"/>
          <w:pgMar w:top="824" w:right="1440" w:bottom="570" w:left="1440" w:header="708" w:footer="708" w:gutter="0"/>
          <w:cols w:num="3" w:space="334"/>
          <w:docGrid w:linePitch="360"/>
        </w:sectPr>
      </w:pPr>
      <w:r w:rsidRPr="00755153">
        <w:rPr>
          <w:rFonts w:eastAsia="Times New Roman" w:cs="Calibri"/>
          <w:color w:val="242424"/>
          <w:kern w:val="0"/>
          <w:sz w:val="20"/>
          <w:szCs w:val="20"/>
          <w:shd w:val="clear" w:color="auto" w:fill="FFFFFF"/>
          <w:lang w:eastAsia="en-GB"/>
          <w14:ligatures w14:val="none"/>
        </w:rPr>
        <w:t>Yemen National NGOs Foru</w:t>
      </w:r>
      <w:r>
        <w:rPr>
          <w:rFonts w:eastAsia="Times New Roman" w:cs="Calibri"/>
          <w:color w:val="242424"/>
          <w:kern w:val="0"/>
          <w:sz w:val="20"/>
          <w:szCs w:val="20"/>
          <w:shd w:val="clear" w:color="auto" w:fill="FFFFFF"/>
          <w:lang w:eastAsia="en-GB"/>
          <w14:ligatures w14:val="none"/>
        </w:rPr>
        <w:t>m</w:t>
      </w:r>
    </w:p>
    <w:p w14:paraId="3D763034" w14:textId="77777777" w:rsidR="00E127CD" w:rsidRPr="00E127CD" w:rsidRDefault="00E127CD" w:rsidP="00E127CD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E127CD" w:rsidRPr="00E127CD" w:rsidSect="00E127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F57"/>
    <w:multiLevelType w:val="multilevel"/>
    <w:tmpl w:val="1614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C5BFE"/>
    <w:multiLevelType w:val="multilevel"/>
    <w:tmpl w:val="E19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A75D0"/>
    <w:multiLevelType w:val="multilevel"/>
    <w:tmpl w:val="1614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31682"/>
    <w:multiLevelType w:val="multilevel"/>
    <w:tmpl w:val="548A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666815">
    <w:abstractNumId w:val="1"/>
  </w:num>
  <w:num w:numId="2" w16cid:durableId="1830713062">
    <w:abstractNumId w:val="3"/>
  </w:num>
  <w:num w:numId="3" w16cid:durableId="221214145">
    <w:abstractNumId w:val="2"/>
  </w:num>
  <w:num w:numId="4" w16cid:durableId="86548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CD"/>
    <w:rsid w:val="00300BEF"/>
    <w:rsid w:val="00364009"/>
    <w:rsid w:val="003F1B45"/>
    <w:rsid w:val="004D1DCD"/>
    <w:rsid w:val="0059184C"/>
    <w:rsid w:val="007238C2"/>
    <w:rsid w:val="008343B8"/>
    <w:rsid w:val="00872B01"/>
    <w:rsid w:val="009A55EB"/>
    <w:rsid w:val="009F417F"/>
    <w:rsid w:val="00A5021A"/>
    <w:rsid w:val="00B5670C"/>
    <w:rsid w:val="00C4235E"/>
    <w:rsid w:val="00DA080C"/>
    <w:rsid w:val="00DB626D"/>
    <w:rsid w:val="00E1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0E412"/>
  <w15:chartTrackingRefBased/>
  <w15:docId w15:val="{E698D2AC-0E69-6740-BE87-FBED4A6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7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Morrow</dc:creator>
  <cp:keywords/>
  <dc:description/>
  <cp:lastModifiedBy>Eileen Morrow</cp:lastModifiedBy>
  <cp:revision>2</cp:revision>
  <dcterms:created xsi:type="dcterms:W3CDTF">2025-10-13T12:20:00Z</dcterms:created>
  <dcterms:modified xsi:type="dcterms:W3CDTF">2025-10-13T12:53:00Z</dcterms:modified>
</cp:coreProperties>
</file>